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551AD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1800"/>
        <w:ind w:left="-312"/>
        <w:jc w:val="center"/>
        <w:rPr>
          <w:rFonts w:ascii="Libre Franklin" w:eastAsia="Libre Franklin" w:hAnsi="Libre Franklin" w:cs="Libre Franklin"/>
          <w:color w:val="000000"/>
        </w:rPr>
      </w:pPr>
      <w:r>
        <w:rPr>
          <w:rFonts w:ascii="Libre Franklin" w:eastAsia="Libre Franklin" w:hAnsi="Libre Franklin" w:cs="Libre Franklin"/>
          <w:noProof/>
          <w:color w:val="000000"/>
        </w:rPr>
        <mc:AlternateContent>
          <mc:Choice Requires="wpg">
            <w:drawing>
              <wp:inline distT="0" distB="0" distL="0" distR="0">
                <wp:extent cx="6097125" cy="1521525"/>
                <wp:effectExtent l="0" t="0" r="0" b="0"/>
                <wp:docPr id="2" name="Rectangle : coins arrond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02200" y="3024000"/>
                          <a:ext cx="6087600" cy="1512000"/>
                        </a:xfrm>
                        <a:prstGeom prst="roundRect">
                          <a:avLst>
                            <a:gd name="adj" fmla="val 6267"/>
                          </a:avLst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1551AD" w:rsidRDefault="00000000">
                            <w:pPr>
                              <w:spacing w:line="288" w:lineRule="auto"/>
                              <w:textDirection w:val="btLr"/>
                            </w:pPr>
                            <w:r>
                              <w:rPr>
                                <w:rFonts w:ascii="Libre Franklin" w:eastAsia="Libre Franklin" w:hAnsi="Libre Franklin" w:cs="Libre Franklin"/>
                                <w:b/>
                                <w:color w:val="000000"/>
                                <w:sz w:val="22"/>
                              </w:rPr>
                              <w:t>Comment rédiger un enjeu?</w:t>
                            </w:r>
                          </w:p>
                          <w:p w:rsidR="001551AD" w:rsidRDefault="00000000">
                            <w:pPr>
                              <w:spacing w:before="120" w:line="275" w:lineRule="auto"/>
                              <w:textDirection w:val="btLr"/>
                            </w:pPr>
                            <w:r>
                              <w:rPr>
                                <w:rFonts w:ascii="Libre Franklin" w:eastAsia="Libre Franklin" w:hAnsi="Libre Franklin" w:cs="Libre Franklin"/>
                                <w:color w:val="000000"/>
                                <w:sz w:val="18"/>
                              </w:rPr>
                              <w:t xml:space="preserve">Un enjeu est </w:t>
                            </w:r>
                            <w:r>
                              <w:rPr>
                                <w:rFonts w:ascii="Libre Franklin" w:eastAsia="Libre Franklin" w:hAnsi="Libre Franklin" w:cs="Libre Franklin"/>
                                <w:b/>
                                <w:color w:val="000000"/>
                                <w:sz w:val="18"/>
                              </w:rPr>
                              <w:t>un court énoncé de ce qui est à perdre ou à gagner</w:t>
                            </w:r>
                            <w:r>
                              <w:rPr>
                                <w:rFonts w:ascii="Libre Franklin" w:eastAsia="Libre Franklin" w:hAnsi="Libre Franklin" w:cs="Libre Franklin"/>
                                <w:color w:val="000000"/>
                                <w:sz w:val="18"/>
                              </w:rPr>
                              <w:t xml:space="preserve"> sur un aspect donné. Une bonne formulation ouvre la porte à un arbitrage à effectuer et met en lumière ce qui est en jeu si rien n’est fait. Il peut varier selon l’échelle d’analyse, les personnes concernées et le moment. </w:t>
                            </w:r>
                          </w:p>
                          <w:p w:rsidR="001551AD" w:rsidRDefault="00000000">
                            <w:pPr>
                              <w:spacing w:before="120" w:line="275" w:lineRule="auto"/>
                              <w:textDirection w:val="btLr"/>
                            </w:pPr>
                            <w:r>
                              <w:rPr>
                                <w:rFonts w:ascii="Libre Franklin" w:eastAsia="Libre Franklin" w:hAnsi="Libre Franklin" w:cs="Libre Franklin"/>
                                <w:color w:val="000000"/>
                                <w:sz w:val="18"/>
                              </w:rPr>
                              <w:t xml:space="preserve">Attention, un enjeu </w:t>
                            </w:r>
                            <w:r>
                              <w:rPr>
                                <w:rFonts w:ascii="Libre Franklin" w:eastAsia="Libre Franklin" w:hAnsi="Libre Franklin" w:cs="Libre Franklin"/>
                                <w:b/>
                                <w:color w:val="000000"/>
                                <w:sz w:val="18"/>
                              </w:rPr>
                              <w:t>n’est pas un objectif, ni une solution</w:t>
                            </w:r>
                            <w:r>
                              <w:rPr>
                                <w:rFonts w:ascii="Libre Franklin" w:eastAsia="Libre Franklin" w:hAnsi="Libre Franklin" w:cs="Libre Franklin"/>
                                <w:color w:val="000000"/>
                                <w:sz w:val="18"/>
                              </w:rPr>
                              <w:t xml:space="preserve">, il n’y a donc par de verbe et n’est pas quantifiable. Un enjeu </w:t>
                            </w:r>
                            <w:r>
                              <w:rPr>
                                <w:rFonts w:ascii="Libre Franklin" w:eastAsia="Libre Franklin" w:hAnsi="Libre Franklin" w:cs="Libre Franklin"/>
                                <w:b/>
                                <w:color w:val="000000"/>
                                <w:sz w:val="18"/>
                              </w:rPr>
                              <w:t>n’est pas non plus un constat ni un problème</w:t>
                            </w:r>
                            <w:r>
                              <w:rPr>
                                <w:rFonts w:ascii="Libre Franklin" w:eastAsia="Libre Franklin" w:hAnsi="Libre Franklin" w:cs="Libre Franklin"/>
                                <w:color w:val="000000"/>
                                <w:sz w:val="18"/>
                              </w:rPr>
                              <w:t>, ceux-ci ont été identifiés à la section 4 dans le tableau des observations ou sont généralement bien connus des municipalités.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inline distB="0" distT="0" distL="0" distR="0">
                <wp:extent cx="6097125" cy="1521525"/>
                <wp:effectExtent b="0" l="0" r="0" t="0"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97125" cy="15215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:rsidR="001551AD" w:rsidRDefault="001551AD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1551AD" w:rsidRDefault="001551AD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1551AD" w:rsidRDefault="001551AD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1551AD" w:rsidRDefault="00000000">
      <w:pPr>
        <w:pBdr>
          <w:top w:val="nil"/>
          <w:left w:val="nil"/>
          <w:bottom w:val="nil"/>
          <w:right w:val="nil"/>
          <w:between w:val="nil"/>
        </w:pBdr>
        <w:ind w:left="-312"/>
        <w:jc w:val="center"/>
        <w:rPr>
          <w:rFonts w:ascii="Libre Franklin" w:eastAsia="Libre Franklin" w:hAnsi="Libre Franklin" w:cs="Libre Franklin"/>
          <w:color w:val="000000"/>
        </w:rPr>
      </w:pPr>
      <w:r>
        <w:rPr>
          <w:rFonts w:ascii="Libre Franklin" w:eastAsia="Libre Franklin" w:hAnsi="Libre Franklin" w:cs="Libre Franklin"/>
          <w:noProof/>
          <w:color w:val="000000"/>
        </w:rPr>
        <w:drawing>
          <wp:inline distT="0" distB="0" distL="0" distR="0">
            <wp:extent cx="6069600" cy="468000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9600" cy="46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551AD" w:rsidRDefault="001551AD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1551AD" w:rsidRDefault="001551AD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p w:rsidR="001551AD" w:rsidRDefault="00000000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  <w: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  <w:t>A. Identifier et prioriser les enjeux à adresser</w:t>
      </w:r>
    </w:p>
    <w:p w:rsidR="001551AD" w:rsidRDefault="001551AD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"/>
        <w:tblW w:w="89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394"/>
        <w:gridCol w:w="792"/>
        <w:gridCol w:w="1760"/>
        <w:gridCol w:w="1134"/>
      </w:tblGrid>
      <w:tr w:rsidR="001551AD"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3600" cy="367200"/>
                  <wp:effectExtent l="0" t="0" r="0" b="0"/>
                  <wp:docPr id="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6" w:type="dxa"/>
            <w:gridSpan w:val="2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Contexte régional</w:t>
            </w:r>
          </w:p>
        </w:tc>
        <w:tc>
          <w:tcPr>
            <w:tcW w:w="1760" w:type="dxa"/>
            <w:tcBorders>
              <w:bottom w:val="single" w:sz="4" w:space="0" w:color="000000"/>
            </w:tcBorders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vAlign w:val="bottom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  <w:t>Prioritaire ?</w:t>
            </w:r>
          </w:p>
        </w:tc>
      </w:tr>
      <w:tr w:rsidR="001551AD">
        <w:trPr>
          <w:cantSplit/>
          <w:trHeight w:val="363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L’isolement des îlots déstructurés.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 xml:space="preserve">Banlieue exogène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rPr>
          <w:cantSplit/>
          <w:trHeight w:val="363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Le rôle du centre-ville comme pôle économique régional.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Bourg, Faubourg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</w:tbl>
    <w:p w:rsidR="001551AD" w:rsidRDefault="001551AD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0"/>
        <w:tblW w:w="89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394"/>
        <w:gridCol w:w="792"/>
        <w:gridCol w:w="1760"/>
        <w:gridCol w:w="1134"/>
      </w:tblGrid>
      <w:tr w:rsidR="001551AD"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lastRenderedPageBreak/>
              <w:drawing>
                <wp:inline distT="0" distB="0" distL="0" distR="0">
                  <wp:extent cx="363600" cy="367200"/>
                  <wp:effectExtent l="0" t="0" r="0" b="0"/>
                  <wp:docPr id="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6" w:type="dxa"/>
            <w:gridSpan w:val="2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Réseau de mobilité</w:t>
            </w:r>
          </w:p>
        </w:tc>
        <w:tc>
          <w:tcPr>
            <w:tcW w:w="1760" w:type="dxa"/>
            <w:tcBorders>
              <w:bottom w:val="single" w:sz="4" w:space="0" w:color="000000"/>
            </w:tcBorders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vAlign w:val="bottom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  <w:t>Prioritaire ?</w:t>
            </w:r>
          </w:p>
        </w:tc>
      </w:tr>
      <w:tr w:rsidR="001551AD">
        <w:trPr>
          <w:cantSplit/>
          <w:trHeight w:val="363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possibilité de se déplacer librement dans une trame perméable.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Banlieue villageoise, banlieue annexe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rPr>
          <w:cantSplit/>
          <w:trHeight w:val="363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L’accès à un service de transport en commun confortable.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Bourg, faubourg, village-rue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</w:tbl>
    <w:p w:rsidR="001551AD" w:rsidRDefault="001551AD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1"/>
        <w:tblW w:w="89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394"/>
        <w:gridCol w:w="792"/>
        <w:gridCol w:w="1760"/>
        <w:gridCol w:w="1134"/>
      </w:tblGrid>
      <w:tr w:rsidR="001551AD"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3600" cy="367200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6" w:type="dxa"/>
            <w:gridSpan w:val="2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Destinations de proximité</w:t>
            </w:r>
          </w:p>
        </w:tc>
        <w:tc>
          <w:tcPr>
            <w:tcW w:w="1760" w:type="dxa"/>
            <w:tcBorders>
              <w:bottom w:val="single" w:sz="4" w:space="0" w:color="000000"/>
            </w:tcBorders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vAlign w:val="bottom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  <w:t>Prioritaire ?</w:t>
            </w:r>
          </w:p>
        </w:tc>
      </w:tr>
      <w:tr w:rsidR="001551AD">
        <w:trPr>
          <w:cantSplit/>
          <w:trHeight w:val="363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L’accessibilité à un parc végétalisé dans tous les secteurs.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Tout le territoire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rPr>
          <w:cantSplit/>
          <w:trHeight w:val="363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L’accessibilité à des établissements scolaires pour les ménages avec enfants.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Banlieue villageoise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</w:tbl>
    <w:p w:rsidR="001551AD" w:rsidRDefault="001551AD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2"/>
        <w:tblW w:w="89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394"/>
        <w:gridCol w:w="792"/>
        <w:gridCol w:w="1760"/>
        <w:gridCol w:w="1134"/>
      </w:tblGrid>
      <w:tr w:rsidR="001551AD"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3600" cy="367200"/>
                  <wp:effectExtent l="0" t="0" r="0" b="0"/>
                  <wp:docPr id="9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6" w:type="dxa"/>
            <w:gridSpan w:val="2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Vulnérabilité environnementale et sociale</w:t>
            </w:r>
          </w:p>
        </w:tc>
        <w:tc>
          <w:tcPr>
            <w:tcW w:w="1760" w:type="dxa"/>
            <w:tcBorders>
              <w:bottom w:val="single" w:sz="4" w:space="0" w:color="000000"/>
            </w:tcBorders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vAlign w:val="bottom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  <w:t>Prioritaire ?</w:t>
            </w:r>
          </w:p>
        </w:tc>
      </w:tr>
      <w:tr w:rsidR="001551AD">
        <w:trPr>
          <w:cantSplit/>
          <w:trHeight w:val="363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capacité de résister aux vagues de chaleur.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Faubourg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rPr>
          <w:cantSplit/>
          <w:trHeight w:val="363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L’accès à des services alimentaires de qualité.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Tout le territoire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</w:tbl>
    <w:p w:rsidR="001551AD" w:rsidRDefault="001551AD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3"/>
        <w:tblW w:w="89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394"/>
        <w:gridCol w:w="792"/>
        <w:gridCol w:w="1760"/>
        <w:gridCol w:w="1134"/>
      </w:tblGrid>
      <w:tr w:rsidR="001551AD"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3600" cy="367200"/>
                  <wp:effectExtent l="0" t="0" r="0" b="0"/>
                  <wp:docPr id="1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6" w:type="dxa"/>
            <w:gridSpan w:val="2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Parc immobilier</w:t>
            </w:r>
          </w:p>
        </w:tc>
        <w:tc>
          <w:tcPr>
            <w:tcW w:w="1760" w:type="dxa"/>
            <w:tcBorders>
              <w:bottom w:val="single" w:sz="4" w:space="0" w:color="000000"/>
            </w:tcBorders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vAlign w:val="bottom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  <w:t>Prioritaire ?</w:t>
            </w:r>
          </w:p>
        </w:tc>
      </w:tr>
      <w:tr w:rsidR="001551AD">
        <w:trPr>
          <w:cantSplit/>
          <w:trHeight w:val="363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capacité d’accueil de la croissance de la population.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Tout le territoire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rPr>
          <w:cantSplit/>
          <w:trHeight w:val="363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capacité d’accueil des ménages avec enfants près des centres scolaires.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Banlieue villageoise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</w:tbl>
    <w:p w:rsidR="001551AD" w:rsidRDefault="001551AD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tbl>
      <w:tblPr>
        <w:tblStyle w:val="a4"/>
        <w:tblW w:w="89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51"/>
        <w:gridCol w:w="4394"/>
        <w:gridCol w:w="792"/>
        <w:gridCol w:w="1760"/>
        <w:gridCol w:w="1134"/>
      </w:tblGrid>
      <w:tr w:rsidR="001551AD"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0"/>
              <w:rPr>
                <w:rFonts w:ascii="Libre Franklin" w:eastAsia="Libre Franklin" w:hAnsi="Libre Franklin" w:cs="Libre Frankli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363600" cy="367200"/>
                  <wp:effectExtent l="0" t="0" r="0" b="0"/>
                  <wp:docPr id="1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0" cy="367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6" w:type="dxa"/>
            <w:gridSpan w:val="2"/>
            <w:tcBorders>
              <w:bottom w:val="single" w:sz="4" w:space="0" w:color="000000"/>
            </w:tcBorders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  <w:t>Contexte sociodémographique</w:t>
            </w:r>
          </w:p>
        </w:tc>
        <w:tc>
          <w:tcPr>
            <w:tcW w:w="1760" w:type="dxa"/>
            <w:tcBorders>
              <w:bottom w:val="single" w:sz="4" w:space="0" w:color="000000"/>
            </w:tcBorders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tcBorders>
              <w:bottom w:val="single" w:sz="4" w:space="0" w:color="000000"/>
            </w:tcBorders>
            <w:vAlign w:val="bottom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  <w:t>Prioritaire ?</w:t>
            </w:r>
          </w:p>
        </w:tc>
      </w:tr>
      <w:tr w:rsidR="001551AD">
        <w:trPr>
          <w:cantSplit/>
          <w:trHeight w:val="363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Ex.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capacité de vieillir dans la municipalité.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Tout le territoire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rPr>
          <w:cantSplit/>
          <w:trHeight w:val="363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La capacité d’accueil des jeunes travailleurs.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  <w:t>Tout le territoire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1551AD" w:rsidRDefault="001551AD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Libre Franklin" w:eastAsia="Libre Franklin" w:hAnsi="Libre Franklin" w:cs="Libre Franklin"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6"/>
                <w:szCs w:val="16"/>
              </w:rPr>
            </w:pPr>
          </w:p>
        </w:tc>
      </w:tr>
      <w:tr w:rsidR="001551AD"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Enjeu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  <w:r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  <w:t>Secteur(s)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51AD" w:rsidRDefault="001551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0" w:lineRule="auto"/>
              <w:jc w:val="center"/>
              <w:rPr>
                <w:rFonts w:ascii="Libre Franklin" w:eastAsia="Libre Franklin" w:hAnsi="Libre Franklin" w:cs="Libre Franklin"/>
                <w:color w:val="000000"/>
                <w:sz w:val="18"/>
                <w:szCs w:val="18"/>
              </w:rPr>
            </w:pPr>
          </w:p>
        </w:tc>
      </w:tr>
    </w:tbl>
    <w:p w:rsidR="001551AD" w:rsidRDefault="001551AD">
      <w:pPr>
        <w:pBdr>
          <w:top w:val="nil"/>
          <w:left w:val="nil"/>
          <w:bottom w:val="nil"/>
          <w:right w:val="nil"/>
          <w:between w:val="nil"/>
        </w:pBdr>
        <w:rPr>
          <w:rFonts w:ascii="Libre Franklin" w:eastAsia="Libre Franklin" w:hAnsi="Libre Franklin" w:cs="Libre Franklin"/>
          <w:b/>
          <w:bCs/>
          <w:color w:val="000000"/>
          <w:sz w:val="28"/>
          <w:szCs w:val="28"/>
        </w:rPr>
      </w:pPr>
    </w:p>
    <w:sectPr w:rsidR="001551AD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1627" w:right="1627" w:bottom="1627" w:left="1627" w:header="737" w:footer="272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32615" w:rsidRDefault="00032615">
      <w:r>
        <w:separator/>
      </w:r>
    </w:p>
  </w:endnote>
  <w:endnote w:type="continuationSeparator" w:id="0">
    <w:p w:rsidR="00032615" w:rsidRDefault="000326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1045620-2E55-C14B-9004-B291194D815F}"/>
    <w:embedItalic r:id="rId2" w:fontKey="{264E8276-D9C4-624C-8D6E-8E541D6FB6A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113FDBEA-E923-004D-9832-A4A48847F39F}"/>
  </w:font>
  <w:font w:name="Libre Franklin">
    <w:panose1 w:val="00000000000000000000"/>
    <w:charset w:val="4D"/>
    <w:family w:val="auto"/>
    <w:pitch w:val="variable"/>
    <w:sig w:usb0="A00002FF" w:usb1="4000205B" w:usb2="00000000" w:usb3="00000000" w:csb0="00000197" w:csb1="00000000"/>
    <w:embedRegular r:id="rId4" w:fontKey="{52C4C4B3-8089-B04C-82F8-7A8503200843}"/>
    <w:embedBold r:id="rId5" w:fontKey="{CEC37057-A249-E64D-AD12-F20E7AF6DA33}"/>
    <w:embedItalic r:id="rId6" w:fontKey="{0B2C84CA-C6B6-5149-8DA5-930FDD7C456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1E76626-3850-0448-ABC3-22B2F4271B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551AD" w:rsidRDefault="00000000">
    <w:pPr>
      <w:pBdr>
        <w:top w:val="nil"/>
        <w:left w:val="nil"/>
        <w:bottom w:val="nil"/>
        <w:right w:val="nil"/>
        <w:between w:val="nil"/>
      </w:pBdr>
      <w:tabs>
        <w:tab w:val="right" w:pos="9894"/>
      </w:tabs>
      <w:spacing w:line="288" w:lineRule="auto"/>
      <w:ind w:left="-57" w:right="-936" w:hanging="879"/>
      <w:rPr>
        <w:rFonts w:ascii="Libre Franklin" w:eastAsia="Libre Franklin" w:hAnsi="Libre Franklin" w:cs="Libre Franklin"/>
        <w:color w:val="000000"/>
        <w:sz w:val="13"/>
        <w:szCs w:val="13"/>
      </w:rPr>
    </w:pPr>
    <w:r>
      <w:rPr>
        <w:rFonts w:ascii="Libre Franklin" w:eastAsia="Libre Franklin" w:hAnsi="Libre Franklin" w:cs="Libre Franklin"/>
        <w:color w:val="000000"/>
        <w:sz w:val="13"/>
        <w:szCs w:val="13"/>
      </w:rPr>
      <w:t>Évaluation du potentiel de transformation des milieux de vie existants</w:t>
    </w:r>
    <w:r>
      <w:rPr>
        <w:rFonts w:ascii="Libre Franklin" w:eastAsia="Libre Franklin" w:hAnsi="Libre Franklin" w:cs="Libre Franklin"/>
        <w:color w:val="000000"/>
        <w:sz w:val="13"/>
        <w:szCs w:val="13"/>
      </w:rPr>
      <w:tab/>
      <w:t xml:space="preserve">Tableau des enjeux    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begin"/>
    </w:r>
    <w:r>
      <w:rPr>
        <w:rFonts w:ascii="Libre Franklin" w:eastAsia="Libre Franklin" w:hAnsi="Libre Franklin" w:cs="Libre Franklin"/>
        <w:color w:val="000000"/>
        <w:sz w:val="13"/>
        <w:szCs w:val="13"/>
      </w:rPr>
      <w:instrText>PAGE</w:instrTex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separate"/>
    </w:r>
    <w:r w:rsidR="001167FD">
      <w:rPr>
        <w:rFonts w:ascii="Libre Franklin" w:eastAsia="Libre Franklin" w:hAnsi="Libre Franklin" w:cs="Libre Franklin"/>
        <w:noProof/>
        <w:color w:val="000000"/>
        <w:sz w:val="13"/>
        <w:szCs w:val="13"/>
      </w:rPr>
      <w:t>2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551AD" w:rsidRDefault="00000000">
    <w:pPr>
      <w:pBdr>
        <w:top w:val="nil"/>
        <w:left w:val="nil"/>
        <w:bottom w:val="nil"/>
        <w:right w:val="nil"/>
        <w:between w:val="nil"/>
      </w:pBdr>
      <w:tabs>
        <w:tab w:val="right" w:pos="9894"/>
      </w:tabs>
      <w:spacing w:line="288" w:lineRule="auto"/>
      <w:ind w:left="-57" w:right="-936" w:hanging="879"/>
      <w:rPr>
        <w:rFonts w:ascii="Libre Franklin" w:eastAsia="Libre Franklin" w:hAnsi="Libre Franklin" w:cs="Libre Franklin"/>
        <w:color w:val="000000"/>
        <w:sz w:val="13"/>
        <w:szCs w:val="13"/>
      </w:rPr>
    </w:pPr>
    <w:r>
      <w:rPr>
        <w:rFonts w:ascii="Libre Franklin" w:eastAsia="Libre Franklin" w:hAnsi="Libre Franklin" w:cs="Libre Franklin"/>
        <w:color w:val="000000"/>
        <w:sz w:val="13"/>
        <w:szCs w:val="13"/>
      </w:rPr>
      <w:t>Évaluation du potentiel de transformation des milieux de vie existants</w:t>
    </w:r>
    <w:r>
      <w:rPr>
        <w:rFonts w:ascii="Libre Franklin" w:eastAsia="Libre Franklin" w:hAnsi="Libre Franklin" w:cs="Libre Franklin"/>
        <w:color w:val="000000"/>
        <w:sz w:val="13"/>
        <w:szCs w:val="13"/>
      </w:rPr>
      <w:tab/>
      <w:t xml:space="preserve">Tableau des enjeux    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begin"/>
    </w:r>
    <w:r>
      <w:rPr>
        <w:rFonts w:ascii="Libre Franklin" w:eastAsia="Libre Franklin" w:hAnsi="Libre Franklin" w:cs="Libre Franklin"/>
        <w:color w:val="000000"/>
        <w:sz w:val="13"/>
        <w:szCs w:val="13"/>
      </w:rPr>
      <w:instrText>PAGE</w:instrTex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separate"/>
    </w:r>
    <w:r w:rsidR="001167FD">
      <w:rPr>
        <w:rFonts w:ascii="Libre Franklin" w:eastAsia="Libre Franklin" w:hAnsi="Libre Franklin" w:cs="Libre Franklin"/>
        <w:noProof/>
        <w:color w:val="000000"/>
        <w:sz w:val="13"/>
        <w:szCs w:val="13"/>
      </w:rPr>
      <w:t>1</w:t>
    </w:r>
    <w:r>
      <w:rPr>
        <w:rFonts w:ascii="Libre Franklin" w:eastAsia="Libre Franklin" w:hAnsi="Libre Franklin" w:cs="Libre Franklin"/>
        <w:color w:val="000000"/>
        <w:sz w:val="13"/>
        <w:szCs w:val="13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32615" w:rsidRDefault="00032615">
      <w:r>
        <w:separator/>
      </w:r>
    </w:p>
  </w:footnote>
  <w:footnote w:type="continuationSeparator" w:id="0">
    <w:p w:rsidR="00032615" w:rsidRDefault="000326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551A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0" distR="0" simplePos="0" relativeHeight="251662336" behindDoc="1" locked="0" layoutInCell="1" hidden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346000" y="3780000"/>
                        <a:ext cx="0" cy="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1551AD" w:rsidRDefault="001551AD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551A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1" layoutInCell="1" hidden="0" allowOverlap="1">
          <wp:simplePos x="0" y="0"/>
          <wp:positionH relativeFrom="page">
            <wp:posOffset>3810</wp:posOffset>
          </wp:positionH>
          <wp:positionV relativeFrom="page">
            <wp:posOffset>5715</wp:posOffset>
          </wp:positionV>
          <wp:extent cx="7765200" cy="10047600"/>
          <wp:effectExtent l="0" t="0" r="0" b="0"/>
          <wp:wrapNone/>
          <wp:docPr id="5" name="image8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8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5200" cy="10047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color w:val="000000"/>
      </w:rPr>
      <mc:AlternateContent>
        <mc:Choice Requires="wpg">
          <w:drawing>
            <wp:anchor distT="0" distB="0" distL="0" distR="0" simplePos="0" relativeHeight="251659264" behindDoc="1" locked="0" layoutInCell="1" hidden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346000" y="3780000"/>
                        <a:ext cx="0" cy="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1551AD" w:rsidRDefault="001551AD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b="0" l="0" r="0" t="0"/>
              <wp:wrapNone/>
              <wp:docPr id="3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551A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60288" behindDoc="1" locked="1" layoutInCell="1" hidden="0" allowOverlap="1">
          <wp:simplePos x="0" y="0"/>
          <wp:positionH relativeFrom="margin">
            <wp:posOffset>-1025525</wp:posOffset>
          </wp:positionH>
          <wp:positionV relativeFrom="margin">
            <wp:posOffset>-1031240</wp:posOffset>
          </wp:positionV>
          <wp:extent cx="7765200" cy="10047600"/>
          <wp:effectExtent l="0" t="0" r="0" b="0"/>
          <wp:wrapNone/>
          <wp:docPr id="13" name="image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5200" cy="10047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color w:val="000000"/>
      </w:rPr>
      <mc:AlternateContent>
        <mc:Choice Requires="wpg">
          <w:drawing>
            <wp:anchor distT="0" distB="0" distL="0" distR="0" simplePos="0" relativeHeight="251661312" behindDoc="1" locked="0" layoutInCell="1" hidden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346000" y="3780000"/>
                        <a:ext cx="0" cy="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1551AD" w:rsidRDefault="001551AD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12700" cy="12700"/>
              <wp:effectExtent b="0" l="0" r="0" t="0"/>
              <wp:wrapNone/>
              <wp:docPr id="4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51AD"/>
    <w:rsid w:val="00032615"/>
    <w:rsid w:val="001167FD"/>
    <w:rsid w:val="001551AD"/>
    <w:rsid w:val="00422409"/>
    <w:rsid w:val="00703F2E"/>
    <w:rsid w:val="00811E5E"/>
    <w:rsid w:val="00D07E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767A462-9CD5-0643-9156-A701F1D7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fr-CA" w:eastAsia="fr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paragraph" w:styleId="Sous-titr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13" w:type="dxa"/>
        <w:left w:w="108" w:type="dxa"/>
        <w:bottom w:w="113" w:type="dxa"/>
        <w:right w:w="108" w:type="dxa"/>
      </w:tblCellMar>
    </w:tblPr>
  </w:style>
  <w:style w:type="paragraph" w:styleId="Pieddepage">
    <w:name w:val="footer"/>
    <w:basedOn w:val="Normal"/>
    <w:link w:val="PieddepageCar"/>
    <w:uiPriority w:val="99"/>
    <w:unhideWhenUsed/>
    <w:rsid w:val="001167FD"/>
    <w:pPr>
      <w:tabs>
        <w:tab w:val="center" w:pos="4320"/>
        <w:tab w:val="right" w:pos="864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167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3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234</Words>
  <Characters>1291</Characters>
  <Application>Microsoft Office Word</Application>
  <DocSecurity>0</DocSecurity>
  <Lines>10</Lines>
  <Paragraphs>3</Paragraphs>
  <ScaleCrop>false</ScaleCrop>
  <Company/>
  <LinksUpToDate>false</LinksUpToDate>
  <CharactersWithSpaces>1522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Brigitte Lavallée</cp:lastModifiedBy>
  <cp:revision>4</cp:revision>
  <dcterms:created xsi:type="dcterms:W3CDTF">2026-03-24T15:54:00Z</dcterms:created>
  <dcterms:modified xsi:type="dcterms:W3CDTF">2026-03-24T18:40:00Z</dcterms:modified>
</cp:coreProperties>
</file>